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ink/ink1.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default" w:ascii="仿宋_GB2312" w:hAnsi="仿宋_GB2312" w:eastAsia="仿宋_GB2312" w:cs="仿宋_GB2312"/>
          <w:b w:val="0"/>
          <w:bCs/>
          <w:sz w:val="32"/>
          <w:szCs w:val="32"/>
        </w:rPr>
      </w:pPr>
      <w:r>
        <w:rPr>
          <w:rFonts w:ascii="方正小标宋简体" w:hAnsi="方正小标宋简体" w:eastAsia="方正小标宋简体" w:cs="方正小标宋简体"/>
          <w:b w:val="0"/>
          <w:bCs/>
          <w:sz w:val="44"/>
          <w:szCs w:val="44"/>
        </w:rPr>
        <w:t>甘泉堡经济技术开发区（工业区）石化化工行业中试项目管理办法（试行）</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center"/>
        <w:rPr>
          <w:rFonts w:hint="default" w:ascii="仿宋_GB2312" w:hAnsi="仿宋_GB2312" w:eastAsia="仿宋_GB2312" w:cs="仿宋_GB2312"/>
          <w:sz w:val="32"/>
          <w:szCs w:val="32"/>
        </w:rPr>
      </w:pP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center"/>
        <w:rPr>
          <w:rFonts w:hint="default" w:ascii="仿宋_GB2312" w:hAnsi="仿宋_GB2312" w:eastAsia="仿宋_GB2312" w:cs="仿宋_GB2312"/>
          <w:sz w:val="32"/>
          <w:szCs w:val="32"/>
        </w:rPr>
      </w:pPr>
      <w:r>
        <w:rPr>
          <w:rFonts w:ascii="仿宋_GB2312" w:hAnsi="仿宋_GB2312" w:eastAsia="仿宋_GB2312" w:cs="仿宋_GB2312"/>
          <w:sz w:val="32"/>
          <w:szCs w:val="32"/>
        </w:rPr>
        <w:t>第一章总则</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rPr>
          <w:rFonts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第一条为规范乌鲁木齐市甘泉堡经济技术开发区(工业区)(以下简称甘泉堡经开区)石化化工行业中试项目的建设和管理，加快中试项目落地，促进行业科技成果向现实生产力转化，根据《中华人民共和国安全生产法》《建设项目环境保护管理条例》《化工园区中试基地建设导则》(GB/T44710-2024)等国家相关法律法规及行业标准，结合甘泉堡经开区石化化工行业发展实际，制定本办法。</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rPr>
          <w:rFonts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第二条本办法适用于甘泉堡经开区石化化工行业中试项目的管理。本办法所称石化化工行业，包括《国民经济行业分类(GB/T4754-2017)》中252煤炭加工(含2523煤制液体燃料生产)、251石油加工、261化学原料和化学制品制造、265合成材料制造(含2651初级形态塑料及合成树脂制造)、292橡胶和塑料制品制造等相关细分行业；不包括涉及国家明令禁止、淘汰类产业的相关细分领域。</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rPr>
          <w:rFonts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第三条本办法所称</w:t>
      </w:r>
      <w:r>
        <w:rPr>
          <w:rStyle w:val="9"/>
          <w:rFonts w:hint="eastAsia" w:ascii="仿宋_GB2312" w:hAnsi="仿宋_GB2312" w:eastAsia="仿宋_GB2312" w:cs="仿宋_GB2312"/>
          <w:b w:val="0"/>
          <w:bCs/>
          <w:kern w:val="0"/>
          <w:sz w:val="32"/>
          <w:szCs w:val="32"/>
          <w:lang w:bidi="ar"/>
        </w:rPr>
        <w:t>石化化工行业</w:t>
      </w:r>
      <w:r>
        <w:rPr>
          <w:rFonts w:hint="eastAsia" w:ascii="仿宋_GB2312" w:hAnsi="仿宋_GB2312" w:eastAsia="仿宋_GB2312" w:cs="仿宋_GB2312"/>
          <w:bCs/>
          <w:kern w:val="0"/>
          <w:sz w:val="32"/>
          <w:szCs w:val="32"/>
          <w:lang w:bidi="ar"/>
        </w:rPr>
        <w:t>中试项目（以下简称中试项目），是指为开展</w:t>
      </w:r>
      <w:r>
        <w:rPr>
          <w:rStyle w:val="9"/>
          <w:rFonts w:hint="eastAsia" w:ascii="仿宋_GB2312" w:hAnsi="仿宋_GB2312" w:eastAsia="仿宋_GB2312" w:cs="仿宋_GB2312"/>
          <w:b w:val="0"/>
          <w:bCs/>
          <w:kern w:val="0"/>
          <w:sz w:val="32"/>
          <w:szCs w:val="32"/>
          <w:lang w:bidi="ar"/>
        </w:rPr>
        <w:t>石化化工行业</w:t>
      </w:r>
      <w:r>
        <w:rPr>
          <w:rFonts w:hint="eastAsia" w:ascii="仿宋_GB2312" w:hAnsi="仿宋_GB2312" w:eastAsia="仿宋_GB2312" w:cs="仿宋_GB2312"/>
          <w:bCs/>
          <w:kern w:val="0"/>
          <w:sz w:val="32"/>
          <w:szCs w:val="32"/>
          <w:lang w:bidi="ar"/>
        </w:rPr>
        <w:t>中试研究而实施的新建、改建、扩建项目，建设内容主要包括中试装置及必要的公用工程、辅助设施等。</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rPr>
          <w:rFonts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第四条鼓励</w:t>
      </w:r>
      <w:r>
        <w:rPr>
          <w:rStyle w:val="9"/>
          <w:rFonts w:hint="eastAsia" w:ascii="仿宋_GB2312" w:hAnsi="仿宋_GB2312" w:eastAsia="仿宋_GB2312" w:cs="仿宋_GB2312"/>
          <w:b w:val="0"/>
          <w:bCs/>
          <w:kern w:val="0"/>
          <w:sz w:val="32"/>
          <w:szCs w:val="32"/>
          <w:lang w:bidi="ar"/>
        </w:rPr>
        <w:t>石化化工</w:t>
      </w:r>
      <w:r>
        <w:rPr>
          <w:rFonts w:hint="eastAsia" w:ascii="仿宋_GB2312" w:hAnsi="仿宋_GB2312" w:eastAsia="仿宋_GB2312" w:cs="仿宋_GB2312"/>
          <w:bCs/>
          <w:kern w:val="0"/>
          <w:sz w:val="32"/>
          <w:szCs w:val="32"/>
          <w:lang w:bidi="ar"/>
        </w:rPr>
        <w:t>企业与高校、科研机构等合作，围绕化工新材料、精细化学品，实施新技术、新设备、新工艺、新产品以及安全化、绿色化、高效化的中试项目。</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rPr>
          <w:rFonts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第五条鼓励中试项目构建人工智能驱动的研发创新体系，通过运用“人工智能（AI）＋化工”深度融合创新、数字孪生与仿真技术协同、虚拟验证体系构建等技术路径，实现</w:t>
      </w:r>
      <w:r>
        <w:rPr>
          <w:rStyle w:val="9"/>
          <w:rFonts w:hint="eastAsia" w:ascii="仿宋_GB2312" w:hAnsi="仿宋_GB2312" w:eastAsia="仿宋_GB2312" w:cs="仿宋_GB2312"/>
          <w:b w:val="0"/>
          <w:bCs/>
          <w:kern w:val="0"/>
          <w:sz w:val="32"/>
          <w:szCs w:val="32"/>
          <w:lang w:bidi="ar"/>
        </w:rPr>
        <w:t>石化化工</w:t>
      </w:r>
      <w:r>
        <w:rPr>
          <w:rFonts w:hint="eastAsia" w:ascii="仿宋_GB2312" w:hAnsi="仿宋_GB2312" w:eastAsia="仿宋_GB2312" w:cs="仿宋_GB2312"/>
          <w:bCs/>
          <w:kern w:val="0"/>
          <w:sz w:val="32"/>
          <w:szCs w:val="32"/>
          <w:lang w:bidi="ar"/>
        </w:rPr>
        <w:t>中试全流程智能化优化，有效缩短中试周期，降低试错成本。鼓励中试项目运用智能物联等技术，构建智能化管控体系，应用“第五代移动通信（5G）＋AI”智能巡检系统、多维感知与风险预警等新一代技术，实现潜在风险的早期识别与精准研判，提升安全管理效能。</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rPr>
          <w:rFonts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第六条中试项目应当布局在甘泉堡经开区石化化工生产企业现有厂区内或化工园区范围。按照《危险化学品重大危险源辨识》(GB18218-2018)进行辨识，中试项目不得构成危险化学品重大危险源；确因工艺特性无法避免的，须提前向甘泉堡经开区应急管理局提交专项安全评估报告与重大危险源管控方案，经专家评审通过并取得专项许可后，方可按照《危险化学品重大危险源监督管理暂行规定》实施全流程管控。选址应当符合区域环境承载力要求，契合园区产业布局和安全环保规划；中试项目涉及的危险化学品应满足国家危险化学品禁止、限制及控制目录相关要求。</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rPr>
          <w:rFonts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第七条甘泉堡经开区建立中试项目联合审核机制，由区经济发展局牵头，成员包括区规划建设局、应急管理局、自然资源分局、生态环境分局、市场监督管理局等相关管理部门，形成例会制和即报即审制。联合审核通过的项目报管委会研究，通过后由区经济发展局办理中试项目备案登记手续。各部门按照中试项目备案内容，依据法定职责，依法做好中试项目用地、安全评价、节能审查、环境影响评价、职业病防护设施三同时、水土保持、规划许可、消防、施工许可、质量监督、项目验收、行政审批等手续的审核、办理工作。</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center"/>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第二章中试项目建设运营管理</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rPr>
          <w:rFonts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第八条鼓励建设集研发、中试、检验、测试等功能于一体的中试项目，为</w:t>
      </w:r>
      <w:r>
        <w:rPr>
          <w:rStyle w:val="9"/>
          <w:rFonts w:hint="eastAsia" w:ascii="仿宋_GB2312" w:hAnsi="仿宋_GB2312" w:eastAsia="仿宋_GB2312" w:cs="仿宋_GB2312"/>
          <w:b w:val="0"/>
          <w:bCs/>
          <w:kern w:val="0"/>
          <w:sz w:val="32"/>
          <w:szCs w:val="32"/>
          <w:lang w:bidi="ar"/>
        </w:rPr>
        <w:t>石化化工行业</w:t>
      </w:r>
      <w:r>
        <w:rPr>
          <w:rFonts w:hint="eastAsia" w:ascii="仿宋_GB2312" w:hAnsi="仿宋_GB2312" w:eastAsia="仿宋_GB2312" w:cs="仿宋_GB2312"/>
          <w:bCs/>
          <w:kern w:val="0"/>
          <w:sz w:val="32"/>
          <w:szCs w:val="32"/>
          <w:lang w:bidi="ar"/>
        </w:rPr>
        <w:t>搭建优质公共服务平台而奠定基础。</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rPr>
          <w:rFonts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第九条中试项目应当由独立法人单位实施建设、负责运营管理；确需由独立法人授权下属单位实施的，应当出具正式授权文件，明确授权范围和责任划分，授权下属单位承担建设、运营管理职责的，独立法人单位仍需承担连带责任。建设单位和运营管理单位应当承担安全生产、环境保护的主体责任，落实安全生产、环境保护各项管理制度。</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rPr>
          <w:rFonts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第十条中试项目建设应当按照固定资产投资项目的管理规定办理有关报建手续。根据中试项目建设内容，纳入《固定污染源排污许可分类管理名录》的，应当在投入生产运营前依法办理排污许可手续，按照排污许可证规定开展排污活动，严禁无证排污、超许可排污。</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rPr>
          <w:rFonts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第十一条中试项目建设单位或运营管理单位应当按照国家和自治区相关规定及标准规范要求，编制中试项目建设运营方案；组织具有化工、安全、环保等相关专业高级及以</w:t>
      </w:r>
      <w:r>
        <w:rPr>
          <w:sz w:val="32"/>
        </w:rPr>
        <mc:AlternateContent>
          <mc:Choice Requires="wps">
            <w:drawing>
              <wp:anchor distT="0" distB="0" distL="114300" distR="114300" simplePos="0" relativeHeight="251659264" behindDoc="0" locked="0" layoutInCell="1" allowOverlap="1">
                <wp:simplePos x="0" y="0"/>
                <wp:positionH relativeFrom="column">
                  <wp:posOffset>1932940</wp:posOffset>
                </wp:positionH>
                <wp:positionV relativeFrom="paragraph">
                  <wp:posOffset>469265</wp:posOffset>
                </wp:positionV>
                <wp:extent cx="635" cy="635"/>
                <wp:effectExtent l="0" t="0" r="0" b="0"/>
                <wp:wrapNone/>
                <wp:docPr id="3" name="墨迹 3"/>
                <wp:cNvGraphicFramePr/>
                <a:graphic xmlns:a="http://schemas.openxmlformats.org/drawingml/2006/main">
                  <a:graphicData uri="http://schemas.microsoft.com/office/word/2010/wordprocessingInk">
                    <mc:AlternateContent xmlns:a14="http://schemas.microsoft.com/office/drawing/2010/main">
                      <mc:Choice Requires="a14">
                        <w14:contentPart bwMode="clr" r:id="rId7">
                          <w14:nvContentPartPr>
                            <w14:cNvPr id="3" name="墨迹 3"/>
                            <w14:cNvContentPartPr/>
                          </w14:nvContentPartPr>
                          <w14:xfrm>
                            <a:off x="3075940" y="1383665"/>
                            <a:ext cx="635" cy="635"/>
                          </w14:xfrm>
                        </w14:contentPart>
                      </mc:Choice>
                    </mc:AlternateContent>
                  </a:graphicData>
                </a:graphic>
              </wp:anchor>
            </w:drawing>
          </mc:Choice>
          <mc:Fallback>
            <w:pict>
              <v:shape id="_x0000_s1026" o:spid="_x0000_s1026" o:spt="75" style="position:absolute;left:0pt;margin-left:152.2pt;margin-top:36.95pt;height:0.05pt;width:0.05pt;z-index:251659264;mso-width-relative:page;mso-height-relative:page;" coordsize="21600,21600" o:gfxdata="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">
                <v:imagedata r:id="rId8" o:title=""/>
                <o:lock v:ext="edit"/>
              </v:shape>
            </w:pict>
          </mc:Fallback>
        </mc:AlternateContent>
      </w:r>
      <w:r>
        <w:rPr>
          <w:rFonts w:hint="eastAsia" w:ascii="仿宋_GB2312" w:hAnsi="仿宋_GB2312" w:eastAsia="仿宋_GB2312" w:cs="仿宋_GB2312"/>
          <w:bCs/>
          <w:kern w:val="0"/>
          <w:sz w:val="32"/>
          <w:szCs w:val="32"/>
          <w:lang w:bidi="ar"/>
        </w:rPr>
        <w:t>上职称的专家，对中试项目开展实地评估，形成正式评估意见。建设单位或运营管理单位应当将评估意见、建设运营方案一并报送甘泉堡经开区经济发展局，甘泉堡经开区经济发展局应当自收到相关材料之日起15个工作日内完成审核，并将审核意见书面反馈报送单位。</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rPr>
          <w:rFonts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第十二条中试项目外部防护距离、总体布置等，按照《化工园区中试基地建设导则》(GB/T44710-2024)要求建设，外部防护距离应当按照国家相关标准规范进行核算，经甘泉堡经开区相关管理部门审核确认后实施，确保满足中试项目运行安全需求。</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rPr>
          <w:rFonts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第十三条中试项目建设选址及设施利用遵循灵活适配原则：已拥有现有厂区的企业，中试项目仅允许布置在厂区黄</w:t>
      </w:r>
      <w:r>
        <w:rPr>
          <w:rFonts w:ascii="仿宋_GB2312" w:hAnsi="仿宋_GB2312" w:eastAsia="仿宋_GB2312" w:cs="仿宋_GB2312"/>
          <w:bCs/>
          <w:kern w:val="0"/>
          <w:sz w:val="32"/>
          <w:szCs w:val="32"/>
          <w:lang w:bidi="ar"/>
        </w:rPr>
        <w:t>/</w:t>
      </w:r>
      <w:r>
        <w:rPr>
          <w:rFonts w:hint="eastAsia" w:ascii="仿宋_GB2312" w:hAnsi="仿宋_GB2312" w:eastAsia="仿宋_GB2312" w:cs="仿宋_GB2312"/>
          <w:bCs/>
          <w:kern w:val="0"/>
          <w:sz w:val="32"/>
          <w:szCs w:val="32"/>
          <w:lang w:bidi="ar"/>
        </w:rPr>
        <w:t>蓝等级区域。可依托厂区内符合安全环保要求且经审核合格的公用工程、辅助设施及场地资源，在厂区规划范围内建设中试装置，无需额外新征用地；不具备现有厂区及相关设施条件的企业，可按甘泉堡经开区规划要求申请新征用地，依法办理用地审批手续后开展中试项目建设，确保项目选址符合区域安全风险等级及产业布局要求。中试项目应当配备专职安全生产、环境保护管理人员，其中专职安全管理人员不少于1名，且需具备相应从业资质；运营管理单位负责人应当具有化工、安全等相关专业背景，具备相应管理能力。中试项目内水电气供应、污染防治、应急处置等公共基础设施以及应急队伍建设、应急物资配备、应急预案编制、备案及演练，应当符合国家和本市有关规定，满足基地内中试项目需要，并保障中试项目安全环保运行。</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rPr>
          <w:rFonts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第十四条中试项目建设竣工验收合格后，建设单位应当在15个工作日内，将中试项目竣工验收情况报送甘泉堡经开区经济发展局。甘泉堡经开区应当自收到备案材料之日起20个工作日内，依法向社会公开中试项目相关信息，公开信息包括项目名称、建设单位、建设地点、建设内容、验收结果等(涉及国家秘密、技术秘密、商业秘密的除外)，公开渠道为经开区官方网站，公开期限为长期。</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rPr>
          <w:rFonts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第十五条中试项目建设单位和运营管理单位应当加强基础设施和配套设施建设，充实</w:t>
      </w:r>
      <w:r>
        <w:rPr>
          <w:rStyle w:val="9"/>
          <w:rFonts w:hint="eastAsia" w:ascii="仿宋_GB2312" w:hAnsi="仿宋_GB2312" w:eastAsia="仿宋_GB2312" w:cs="仿宋_GB2312"/>
          <w:b w:val="0"/>
          <w:bCs/>
          <w:kern w:val="0"/>
          <w:sz w:val="32"/>
          <w:szCs w:val="32"/>
          <w:lang w:bidi="ar"/>
        </w:rPr>
        <w:t>石化化工行业</w:t>
      </w:r>
      <w:r>
        <w:rPr>
          <w:rFonts w:hint="eastAsia" w:ascii="仿宋_GB2312" w:hAnsi="仿宋_GB2312" w:eastAsia="仿宋_GB2312" w:cs="仿宋_GB2312"/>
          <w:bCs/>
          <w:kern w:val="0"/>
          <w:sz w:val="32"/>
          <w:szCs w:val="32"/>
          <w:lang w:bidi="ar"/>
        </w:rPr>
        <w:t>、安全、生态环境、节能低碳等领域专家力量，为中试项目单位提供</w:t>
      </w:r>
      <w:r>
        <w:rPr>
          <w:rStyle w:val="9"/>
          <w:rFonts w:hint="eastAsia" w:ascii="仿宋_GB2312" w:hAnsi="仿宋_GB2312" w:eastAsia="仿宋_GB2312" w:cs="仿宋_GB2312"/>
          <w:b w:val="0"/>
          <w:bCs/>
          <w:kern w:val="0"/>
          <w:sz w:val="32"/>
          <w:szCs w:val="32"/>
          <w:lang w:bidi="ar"/>
        </w:rPr>
        <w:t>石化化工</w:t>
      </w:r>
      <w:r>
        <w:rPr>
          <w:rFonts w:hint="eastAsia" w:ascii="仿宋_GB2312" w:hAnsi="仿宋_GB2312" w:eastAsia="仿宋_GB2312" w:cs="仿宋_GB2312"/>
          <w:bCs/>
          <w:kern w:val="0"/>
          <w:sz w:val="32"/>
          <w:szCs w:val="32"/>
          <w:lang w:bidi="ar"/>
        </w:rPr>
        <w:t>中试、行政审批、技术咨询和指导、成果落地转化、对接推广和项目人员培训等工作提供优质服务。</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lang w:bidi="ar"/>
        </w:rPr>
        <w:t>第十六条中试项目工作人员应当自觉保守国家秘密和中试项目单位的技术秘密、商业秘密，保护中试项目单位的知识产权。</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rPr>
          <w:rFonts w:hint="default" w:ascii="仿宋_GB2312" w:hAnsi="仿宋_GB2312" w:eastAsia="仿宋_GB2312" w:cs="仿宋_GB2312"/>
          <w:b w:val="0"/>
          <w:bCs/>
          <w:sz w:val="32"/>
          <w:szCs w:val="32"/>
        </w:rPr>
      </w:pPr>
      <w:r>
        <w:rPr>
          <w:rFonts w:ascii="仿宋_GB2312" w:hAnsi="仿宋_GB2312" w:eastAsia="仿宋_GB2312" w:cs="仿宋_GB2312"/>
          <w:b w:val="0"/>
          <w:bCs/>
          <w:sz w:val="32"/>
          <w:szCs w:val="32"/>
        </w:rPr>
        <w:t>第三章中试项目建设管理</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rPr>
          <w:rFonts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第十七条中试项目应当遵循技术先进、循序渐进、风险可控的原则，采用的工艺技术、装备和产出的产品应当符合国家和自治区相关产业、环保政策。石化化工中试规模放大倍数应当符合行业通用标准及相关技术规范，放大倍数超过合理范围的宜分期多次进行；一次性规模放大倍数过高的，中试项目建设单位或者运行管理单位应当在项目安全评价报告中专题进行必要性、可行性分析，明确防控措施。鼓励中试项目采用适用于石化化工领域的微量集成工艺和信息化、智能化技术，降低工艺过程危险等级。在确保安全和污染物达标排放的基础上，鼓励既有化工企业利用自身闲置、经检测合格且安全评估达标的资源和装置开展石化化工中试；鼓励采用柔性化设计、建设，为开展同类型中试创造条件；鼓励中试项目装置和设备重复利用，重复利用前应当进行安全、环保检测。</w:t>
      </w:r>
    </w:p>
    <w:tbl>
      <w:tblPr>
        <w:tblStyle w:val="7"/>
        <w:tblW w:w="4998" w:type="pct"/>
        <w:tblInd w:w="0" w:type="dxa"/>
        <w:tblLayout w:type="autofit"/>
        <w:tblCellMar>
          <w:top w:w="0" w:type="dxa"/>
          <w:left w:w="0" w:type="dxa"/>
          <w:bottom w:w="0" w:type="dxa"/>
          <w:right w:w="0" w:type="dxa"/>
        </w:tblCellMar>
      </w:tblPr>
      <w:tblGrid>
        <w:gridCol w:w="2218"/>
        <w:gridCol w:w="2439"/>
        <w:gridCol w:w="4441"/>
      </w:tblGrid>
      <w:tr>
        <w:tblPrEx>
          <w:tblCellMar>
            <w:top w:w="0" w:type="dxa"/>
            <w:left w:w="0" w:type="dxa"/>
            <w:bottom w:w="0" w:type="dxa"/>
            <w:right w:w="0" w:type="dxa"/>
          </w:tblCellMar>
        </w:tblPrEx>
        <w:trPr>
          <w:trHeight w:val="375" w:hRule="atLeast"/>
        </w:trPr>
        <w:tc>
          <w:tcPr>
            <w:tcW w:w="1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放大倍数</w:t>
            </w:r>
          </w:p>
        </w:tc>
        <w:tc>
          <w:tcPr>
            <w:tcW w:w="13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等级</w:t>
            </w:r>
          </w:p>
        </w:tc>
        <w:tc>
          <w:tcPr>
            <w:tcW w:w="24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合规要求</w:t>
            </w:r>
          </w:p>
        </w:tc>
      </w:tr>
      <w:tr>
        <w:tblPrEx>
          <w:tblCellMar>
            <w:top w:w="0" w:type="dxa"/>
            <w:left w:w="0" w:type="dxa"/>
            <w:bottom w:w="0" w:type="dxa"/>
            <w:right w:w="0" w:type="dxa"/>
          </w:tblCellMar>
        </w:tblPrEx>
        <w:trPr>
          <w:trHeight w:val="750" w:hRule="atLeast"/>
        </w:trPr>
        <w:tc>
          <w:tcPr>
            <w:tcW w:w="1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ascii="Segoe UI" w:hAnsi="Segoe UI" w:eastAsia="Segoe UI" w:cs="Segoe UI"/>
                <w:color w:val="000000"/>
                <w:sz w:val="28"/>
                <w:szCs w:val="28"/>
              </w:rPr>
            </w:pPr>
            <w:r>
              <w:rPr>
                <w:rFonts w:ascii="Segoe UI" w:hAnsi="Segoe UI" w:eastAsia="Segoe UI" w:cs="Segoe UI"/>
                <w:color w:val="000000"/>
                <w:kern w:val="0"/>
                <w:sz w:val="28"/>
                <w:szCs w:val="28"/>
                <w:lang w:bidi="ar"/>
              </w:rPr>
              <w:t>&lt;10</w:t>
            </w:r>
            <w:r>
              <w:rPr>
                <w:rStyle w:val="11"/>
                <w:rFonts w:hint="default"/>
                <w:lang w:bidi="ar"/>
              </w:rPr>
              <w:t>倍</w:t>
            </w:r>
          </w:p>
        </w:tc>
        <w:tc>
          <w:tcPr>
            <w:tcW w:w="13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低</w:t>
            </w:r>
            <w:r>
              <w:rPr>
                <w:rStyle w:val="12"/>
                <w:lang w:bidi="ar"/>
              </w:rPr>
              <w:t>/</w:t>
            </w:r>
            <w:r>
              <w:rPr>
                <w:rStyle w:val="11"/>
                <w:rFonts w:hint="default"/>
                <w:lang w:bidi="ar"/>
              </w:rPr>
              <w:t>保守</w:t>
            </w:r>
          </w:p>
        </w:tc>
        <w:tc>
          <w:tcPr>
            <w:tcW w:w="24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无需专题分析，常规安全评价即可</w:t>
            </w:r>
          </w:p>
        </w:tc>
      </w:tr>
      <w:tr>
        <w:tblPrEx>
          <w:tblCellMar>
            <w:top w:w="0" w:type="dxa"/>
            <w:left w:w="0" w:type="dxa"/>
            <w:bottom w:w="0" w:type="dxa"/>
            <w:right w:w="0" w:type="dxa"/>
          </w:tblCellMar>
        </w:tblPrEx>
        <w:trPr>
          <w:trHeight w:val="750" w:hRule="atLeast"/>
        </w:trPr>
        <w:tc>
          <w:tcPr>
            <w:tcW w:w="1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ascii="Segoe UI" w:hAnsi="Segoe UI" w:eastAsia="Segoe UI" w:cs="Segoe UI"/>
                <w:color w:val="000000"/>
                <w:sz w:val="28"/>
                <w:szCs w:val="28"/>
              </w:rPr>
            </w:pPr>
            <w:r>
              <w:rPr>
                <w:rFonts w:ascii="Segoe UI" w:hAnsi="Segoe UI" w:eastAsia="Segoe UI" w:cs="Segoe UI"/>
                <w:color w:val="000000"/>
                <w:kern w:val="0"/>
                <w:sz w:val="28"/>
                <w:szCs w:val="28"/>
                <w:lang w:bidi="ar"/>
              </w:rPr>
              <w:t>10–30</w:t>
            </w:r>
            <w:r>
              <w:rPr>
                <w:rStyle w:val="11"/>
                <w:rFonts w:hint="default"/>
                <w:lang w:bidi="ar"/>
              </w:rPr>
              <w:t>倍</w:t>
            </w:r>
          </w:p>
        </w:tc>
        <w:tc>
          <w:tcPr>
            <w:tcW w:w="13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合理</w:t>
            </w:r>
            <w:r>
              <w:rPr>
                <w:rStyle w:val="12"/>
                <w:lang w:bidi="ar"/>
              </w:rPr>
              <w:t>/</w:t>
            </w:r>
            <w:r>
              <w:rPr>
                <w:rStyle w:val="11"/>
                <w:rFonts w:hint="default"/>
                <w:lang w:bidi="ar"/>
              </w:rPr>
              <w:t>常规</w:t>
            </w:r>
          </w:p>
        </w:tc>
        <w:tc>
          <w:tcPr>
            <w:tcW w:w="24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符合通用标准，无需专题分析</w:t>
            </w:r>
          </w:p>
        </w:tc>
      </w:tr>
      <w:tr>
        <w:tblPrEx>
          <w:tblCellMar>
            <w:top w:w="0" w:type="dxa"/>
            <w:left w:w="0" w:type="dxa"/>
            <w:bottom w:w="0" w:type="dxa"/>
            <w:right w:w="0" w:type="dxa"/>
          </w:tblCellMar>
        </w:tblPrEx>
        <w:trPr>
          <w:trHeight w:val="780" w:hRule="atLeast"/>
        </w:trPr>
        <w:tc>
          <w:tcPr>
            <w:tcW w:w="1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ascii="Segoe UI" w:hAnsi="Segoe UI" w:eastAsia="Segoe UI" w:cs="Segoe UI"/>
                <w:color w:val="000000"/>
                <w:sz w:val="28"/>
                <w:szCs w:val="28"/>
              </w:rPr>
            </w:pPr>
            <w:r>
              <w:rPr>
                <w:rFonts w:ascii="Segoe UI" w:hAnsi="Segoe UI" w:eastAsia="Segoe UI" w:cs="Segoe UI"/>
                <w:color w:val="000000"/>
                <w:kern w:val="0"/>
                <w:sz w:val="28"/>
                <w:szCs w:val="28"/>
                <w:lang w:bidi="ar"/>
              </w:rPr>
              <w:t>31–100</w:t>
            </w:r>
            <w:r>
              <w:rPr>
                <w:rStyle w:val="11"/>
                <w:rFonts w:hint="default"/>
                <w:lang w:bidi="ar"/>
              </w:rPr>
              <w:t>倍</w:t>
            </w:r>
          </w:p>
        </w:tc>
        <w:tc>
          <w:tcPr>
            <w:tcW w:w="13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高</w:t>
            </w:r>
            <w:r>
              <w:rPr>
                <w:rStyle w:val="12"/>
                <w:lang w:bidi="ar"/>
              </w:rPr>
              <w:t>/</w:t>
            </w:r>
            <w:r>
              <w:rPr>
                <w:rStyle w:val="11"/>
                <w:rFonts w:hint="default"/>
                <w:lang w:bidi="ar"/>
              </w:rPr>
              <w:t>超限</w:t>
            </w:r>
          </w:p>
        </w:tc>
        <w:tc>
          <w:tcPr>
            <w:tcW w:w="24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必须专题分析</w:t>
            </w:r>
            <w:r>
              <w:rPr>
                <w:rStyle w:val="12"/>
                <w:lang w:bidi="ar"/>
              </w:rPr>
              <w:t>+</w:t>
            </w:r>
            <w:r>
              <w:rPr>
                <w:rStyle w:val="11"/>
                <w:rFonts w:hint="default"/>
                <w:lang w:bidi="ar"/>
              </w:rPr>
              <w:t>防控措施</w:t>
            </w:r>
          </w:p>
        </w:tc>
      </w:tr>
      <w:tr>
        <w:tblPrEx>
          <w:tblCellMar>
            <w:top w:w="0" w:type="dxa"/>
            <w:left w:w="0" w:type="dxa"/>
            <w:bottom w:w="0" w:type="dxa"/>
            <w:right w:w="0" w:type="dxa"/>
          </w:tblCellMar>
        </w:tblPrEx>
        <w:trPr>
          <w:trHeight w:val="750" w:hRule="atLeast"/>
        </w:trPr>
        <w:tc>
          <w:tcPr>
            <w:tcW w:w="1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ascii="Segoe UI" w:hAnsi="Segoe UI" w:eastAsia="Segoe UI" w:cs="Segoe UI"/>
                <w:color w:val="000000"/>
                <w:sz w:val="28"/>
                <w:szCs w:val="28"/>
              </w:rPr>
            </w:pPr>
            <w:r>
              <w:rPr>
                <w:rFonts w:ascii="Segoe UI" w:hAnsi="Segoe UI" w:eastAsia="Segoe UI" w:cs="Segoe UI"/>
                <w:color w:val="000000"/>
                <w:kern w:val="0"/>
                <w:sz w:val="28"/>
                <w:szCs w:val="28"/>
                <w:lang w:bidi="ar"/>
              </w:rPr>
              <w:t>&gt;100</w:t>
            </w:r>
            <w:r>
              <w:rPr>
                <w:rStyle w:val="11"/>
                <w:rFonts w:hint="default"/>
                <w:lang w:bidi="ar"/>
              </w:rPr>
              <w:t>倍</w:t>
            </w:r>
          </w:p>
        </w:tc>
        <w:tc>
          <w:tcPr>
            <w:tcW w:w="13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极高</w:t>
            </w:r>
            <w:r>
              <w:rPr>
                <w:rStyle w:val="12"/>
                <w:lang w:bidi="ar"/>
              </w:rPr>
              <w:t>/</w:t>
            </w:r>
            <w:r>
              <w:rPr>
                <w:rStyle w:val="11"/>
                <w:rFonts w:hint="default"/>
                <w:lang w:bidi="ar"/>
              </w:rPr>
              <w:t>风险</w:t>
            </w:r>
          </w:p>
        </w:tc>
        <w:tc>
          <w:tcPr>
            <w:tcW w:w="24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强制逐级放大，严禁一次性到位</w:t>
            </w:r>
          </w:p>
        </w:tc>
      </w:tr>
    </w:tbl>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rPr>
          <w:rFonts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第十八条中试项目与城市建成区、人口密集区、重要设施等防护目标之间的外部安全防护距离应当满足相关标准、规范要求，并满足相关区域的准入要求。</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rPr>
          <w:rFonts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第十九条中试项目总平面布置应当根据其性质及用途，符合《建筑防火通用规范》(GB55037-2022)、《建筑设计防火规范》(GB50016-2014，2018年版)、《精细化工企业工程设计防火标准》(GB51283-2020)或者《石油化工企业设计防火标准》(GB50160-2008[2018年版])的规定。处于化工生产企业现有厂区内的中试项目，其设备、设施及建(构)筑物的布置应当与该厂区执行同一标准。处于精细化工企业的中试项目，不同中试装置应当按照《精细化工企业工程设计防火标准》(GB51283-2020)要求，处于各自独立的防火分区内，并满足防火防爆等安全要求。石化化工中试装置应当独立设置，不得与在役生产装置在同一建(构)筑物内，且与其他生产装置、建(构)筑物之间防护距离应当按照国家相关防火标准核算，确保符合要求。</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rPr>
          <w:rFonts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第二十条中试项目参建方均需具有从事相应建设活动所需的资质，列入黑名单的企业不可参与建设活动。</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rPr>
          <w:rFonts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第二十一条中试项目建设单位应当在安全评价前进行化工反应安全风险评估，属于精细化工反应的，按照《精细化工反应安全风险评估规范》(GB/T42300-2022)进行安全风险评估，并将评估结果作为开展工艺设计及安全设施设计的依据。中试项目建设应当由有资质的单位编制中试项目安全评价报告和安全设施设计专篇，并由建设单位组织总图、工艺、设备、电气仪表、安全等方面具有高级及以上职称的专家进行评审，评审工作应当在15个工作日内完成，评审意见应当书面反馈建设单位，建设单位应当根据评审意见整改完善。安全评价报告、安全设施设计专篇及评审结论、整改报告，应当在评审整改完成后10个工作日内报甘泉堡管委会关备案。涉及国内首次使用化工工艺的中试项目，应当开展安全可靠性论证，论证报告一并报送备案。</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rPr>
          <w:rFonts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第二十二条中试项目相关管理设施可以独立建设，也可以依托所在化工企业现有设施；若依托现有设施，需做好与中试项目管理设施的隔断，确保不影响现有设施的运行。</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rPr>
          <w:rFonts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第二十三条中试项目投入运行前，应当具备以下条件：</w:t>
      </w:r>
    </w:p>
    <w:p>
      <w:pPr>
        <w:keepNext w:val="0"/>
        <w:keepLines w:val="0"/>
        <w:pageBreakBefore w:val="0"/>
        <w:widowControl/>
        <w:numPr>
          <w:ilvl w:val="0"/>
          <w:numId w:val="1"/>
        </w:numPr>
        <w:kinsoku/>
        <w:wordWrap/>
        <w:overflowPunct/>
        <w:topLinePunct w:val="0"/>
        <w:autoSpaceDE/>
        <w:autoSpaceDN/>
        <w:bidi w:val="0"/>
        <w:adjustRightInd/>
        <w:snapToGrid/>
        <w:spacing w:after="0" w:line="560" w:lineRule="exact"/>
        <w:ind w:firstLine="640" w:firstLineChars="200"/>
        <w:jc w:val="left"/>
        <w:rPr>
          <w:rFonts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编制中试运行方案、操作规程和生产安全事故应急预案，中试运行方案、操作规程应当经建设单位、运营管理单位主要负责人审定，生产安全事故应急预案应当依法备案。</w:t>
      </w:r>
    </w:p>
    <w:p>
      <w:pPr>
        <w:keepNext w:val="0"/>
        <w:keepLines w:val="0"/>
        <w:pageBreakBefore w:val="0"/>
        <w:widowControl/>
        <w:numPr>
          <w:ilvl w:val="0"/>
          <w:numId w:val="1"/>
        </w:numPr>
        <w:kinsoku/>
        <w:wordWrap/>
        <w:overflowPunct/>
        <w:topLinePunct w:val="0"/>
        <w:autoSpaceDE/>
        <w:autoSpaceDN/>
        <w:bidi w:val="0"/>
        <w:adjustRightInd/>
        <w:snapToGrid/>
        <w:spacing w:after="0" w:line="560" w:lineRule="exact"/>
        <w:ind w:firstLine="640" w:firstLineChars="200"/>
        <w:jc w:val="left"/>
        <w:rPr>
          <w:rFonts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建立健全安全生产责任制及安全管理、教育培训、设备设施、化学品管理、环境保护管理等规章制度，并经主要负责人审定，确保制度可落地、可执行。</w:t>
      </w:r>
    </w:p>
    <w:p>
      <w:pPr>
        <w:keepNext w:val="0"/>
        <w:keepLines w:val="0"/>
        <w:pageBreakBefore w:val="0"/>
        <w:widowControl/>
        <w:numPr>
          <w:ilvl w:val="0"/>
          <w:numId w:val="1"/>
        </w:numPr>
        <w:kinsoku/>
        <w:wordWrap/>
        <w:overflowPunct/>
        <w:topLinePunct w:val="0"/>
        <w:autoSpaceDE/>
        <w:autoSpaceDN/>
        <w:bidi w:val="0"/>
        <w:adjustRightInd/>
        <w:snapToGrid/>
        <w:spacing w:after="0" w:line="560" w:lineRule="exact"/>
        <w:ind w:firstLine="640" w:firstLineChars="200"/>
        <w:jc w:val="left"/>
        <w:rPr>
          <w:rFonts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建立完善应急管理制度、事故应急处置和救援保障机制，配备满足需要的安全应急设施、设备、器材装备和物资，并组织开展应急演练，演练每半年至少开展一次。</w:t>
      </w:r>
    </w:p>
    <w:p>
      <w:pPr>
        <w:keepNext w:val="0"/>
        <w:keepLines w:val="0"/>
        <w:pageBreakBefore w:val="0"/>
        <w:widowControl/>
        <w:numPr>
          <w:ilvl w:val="0"/>
          <w:numId w:val="1"/>
        </w:numPr>
        <w:kinsoku/>
        <w:wordWrap/>
        <w:overflowPunct/>
        <w:topLinePunct w:val="0"/>
        <w:autoSpaceDE/>
        <w:autoSpaceDN/>
        <w:bidi w:val="0"/>
        <w:adjustRightInd/>
        <w:snapToGrid/>
        <w:spacing w:after="0" w:line="560" w:lineRule="exact"/>
        <w:ind w:firstLine="640" w:firstLineChars="200"/>
        <w:jc w:val="left"/>
        <w:rPr>
          <w:rFonts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编制突发环境事件应急预案</w:t>
      </w:r>
      <w:r>
        <w:rPr>
          <w:rFonts w:ascii="仿宋_GB2312" w:hAnsi="仿宋_GB2312" w:eastAsia="仿宋_GB2312" w:cs="仿宋_GB2312"/>
          <w:bCs/>
          <w:kern w:val="0"/>
          <w:sz w:val="32"/>
          <w:szCs w:val="32"/>
          <w:lang w:bidi="ar"/>
        </w:rPr>
        <w:t>（重大变更应</w:t>
      </w:r>
      <w:r>
        <w:rPr>
          <w:rFonts w:hint="eastAsia" w:ascii="仿宋_GB2312" w:hAnsi="仿宋_GB2312" w:eastAsia="仿宋_GB2312" w:cs="仿宋_GB2312"/>
          <w:bCs/>
          <w:kern w:val="0"/>
          <w:sz w:val="32"/>
          <w:szCs w:val="32"/>
          <w:lang w:bidi="ar"/>
        </w:rPr>
        <w:t>向生态环境</w:t>
      </w:r>
      <w:r>
        <w:rPr>
          <w:rFonts w:ascii="仿宋_GB2312" w:hAnsi="仿宋_GB2312" w:eastAsia="仿宋_GB2312" w:cs="仿宋_GB2312"/>
          <w:bCs/>
          <w:kern w:val="0"/>
          <w:sz w:val="32"/>
          <w:szCs w:val="32"/>
          <w:lang w:bidi="ar"/>
        </w:rPr>
        <w:t>管理单位进行</w:t>
      </w:r>
      <w:r>
        <w:rPr>
          <w:rFonts w:hint="eastAsia" w:ascii="仿宋_GB2312" w:hAnsi="仿宋_GB2312" w:eastAsia="仿宋_GB2312" w:cs="仿宋_GB2312"/>
          <w:bCs/>
          <w:kern w:val="0"/>
          <w:sz w:val="32"/>
          <w:szCs w:val="32"/>
          <w:lang w:bidi="ar"/>
        </w:rPr>
        <w:t>备案</w:t>
      </w:r>
      <w:r>
        <w:rPr>
          <w:rFonts w:ascii="仿宋_GB2312" w:hAnsi="仿宋_GB2312" w:eastAsia="仿宋_GB2312" w:cs="仿宋_GB2312"/>
          <w:bCs/>
          <w:kern w:val="0"/>
          <w:sz w:val="32"/>
          <w:szCs w:val="32"/>
          <w:lang w:bidi="ar"/>
        </w:rPr>
        <w:t>）或依托原有突发环境事件应急预案</w:t>
      </w:r>
      <w:r>
        <w:rPr>
          <w:rFonts w:hint="eastAsia" w:ascii="仿宋_GB2312" w:hAnsi="仿宋_GB2312" w:eastAsia="仿宋_GB2312" w:cs="仿宋_GB2312"/>
          <w:bCs/>
          <w:kern w:val="0"/>
          <w:sz w:val="32"/>
          <w:szCs w:val="32"/>
          <w:lang w:bidi="ar"/>
        </w:rPr>
        <w:t>；</w:t>
      </w:r>
      <w:bookmarkStart w:id="0" w:name="_GoBack"/>
      <w:bookmarkEnd w:id="0"/>
      <w:r>
        <w:rPr>
          <w:rFonts w:hint="eastAsia" w:ascii="仿宋_GB2312" w:hAnsi="仿宋_GB2312" w:eastAsia="仿宋_GB2312" w:cs="仿宋_GB2312"/>
          <w:bCs/>
          <w:kern w:val="0"/>
          <w:sz w:val="32"/>
          <w:szCs w:val="32"/>
          <w:lang w:bidi="ar"/>
        </w:rPr>
        <w:t>建立完善环境风险防控制度，并根据项目特点配备环境应急装备物资，确保应急处置能力达标。</w:t>
      </w:r>
    </w:p>
    <w:p>
      <w:pPr>
        <w:keepNext w:val="0"/>
        <w:keepLines w:val="0"/>
        <w:pageBreakBefore w:val="0"/>
        <w:widowControl/>
        <w:numPr>
          <w:ilvl w:val="0"/>
          <w:numId w:val="1"/>
        </w:numPr>
        <w:kinsoku/>
        <w:wordWrap/>
        <w:overflowPunct/>
        <w:topLinePunct w:val="0"/>
        <w:autoSpaceDE/>
        <w:autoSpaceDN/>
        <w:bidi w:val="0"/>
        <w:adjustRightInd/>
        <w:snapToGrid/>
        <w:spacing w:after="0" w:line="560" w:lineRule="exact"/>
        <w:ind w:firstLine="640" w:firstLineChars="200"/>
        <w:jc w:val="left"/>
        <w:rPr>
          <w:rFonts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中试项目相关管理、操作人员应当完成专项教育培训，培训内容包括工艺技术、安全管理、环保要求、应急处置等，培训时长不少于48学时，经考核合格后方可上岗；特种作业人员应当取得特种作业操作证，持证上岗。</w:t>
      </w:r>
    </w:p>
    <w:p>
      <w:pPr>
        <w:keepNext w:val="0"/>
        <w:keepLines w:val="0"/>
        <w:pageBreakBefore w:val="0"/>
        <w:widowControl/>
        <w:numPr>
          <w:ilvl w:val="0"/>
          <w:numId w:val="1"/>
        </w:numPr>
        <w:kinsoku/>
        <w:wordWrap/>
        <w:overflowPunct/>
        <w:topLinePunct w:val="0"/>
        <w:autoSpaceDE/>
        <w:autoSpaceDN/>
        <w:bidi w:val="0"/>
        <w:adjustRightInd/>
        <w:snapToGrid/>
        <w:spacing w:after="0" w:line="560" w:lineRule="exact"/>
        <w:ind w:firstLine="640" w:firstLineChars="200"/>
        <w:jc w:val="left"/>
        <w:rPr>
          <w:rFonts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建设单位组织专家组对现场安全、环保等中试条件进行审查，审查工作应当在10个工作日内完成，审查结论书面反馈建设单位，建设单位应当根据审查意见整改，确保中试项目具备中试条件。现场条件审查结果、整改报告应当向甘泉堡经开区备案。</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rPr>
          <w:rFonts w:hint="default" w:ascii="仿宋_GB2312" w:hAnsi="仿宋_GB2312" w:eastAsia="仿宋_GB2312" w:cs="仿宋_GB2312"/>
          <w:b w:val="0"/>
          <w:sz w:val="32"/>
          <w:szCs w:val="32"/>
          <w:lang w:bidi="ar"/>
        </w:rPr>
      </w:pPr>
      <w:r>
        <w:rPr>
          <w:rFonts w:ascii="仿宋_GB2312" w:hAnsi="仿宋_GB2312" w:eastAsia="仿宋_GB2312" w:cs="仿宋_GB2312"/>
          <w:b w:val="0"/>
          <w:sz w:val="32"/>
          <w:szCs w:val="32"/>
          <w:lang w:bidi="ar"/>
        </w:rPr>
        <w:t>(七)中试项目建设单位与运行管理单位不一致的，应当做好技术交底和资料交接，交接内容包括项目设计资料、安全环保资料、设备资料等，交接工作应当在项目竣工验收合格后7个工作日内完成，签订交接协议，明确双方责任。</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center"/>
        <w:rPr>
          <w:rFonts w:hint="default" w:ascii="仿宋_GB2312" w:hAnsi="仿宋_GB2312" w:eastAsia="仿宋_GB2312" w:cs="仿宋_GB2312"/>
          <w:b w:val="0"/>
          <w:bCs/>
          <w:sz w:val="32"/>
          <w:szCs w:val="32"/>
        </w:rPr>
      </w:pPr>
      <w:r>
        <w:rPr>
          <w:rFonts w:ascii="仿宋_GB2312" w:hAnsi="仿宋_GB2312" w:eastAsia="仿宋_GB2312" w:cs="仿宋_GB2312"/>
          <w:sz w:val="32"/>
          <w:szCs w:val="32"/>
        </w:rPr>
        <w:t>第四章中试项目运行管理</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rPr>
          <w:rFonts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第二十四条中试项目应当配备专职安全生产、生态环境保护管理人员，定期开展专业培训，培训周期每年不少于2次，培训内容包括最新法律法规、标准规范、安全环保管控技术、应急处置等，培训后进行考核，考核不合格者暂停上岗，经补考合格后方可上岗，满足国家对相关从业人员专业技能的要求。其中，运行管理单位负责人应当具有化工或者安全等相关专业大专及以上学历，具备3年以上化工行业相关管理经验，具有相应管理能力。</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rPr>
          <w:rFonts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第二十五条中试项目建设单位和运行管理单位应当采取切实可行的工程控制和管理措施，满足安全生产、污染治理、应急救援和消防的需要，确保消防废水及初期雨水等按国家和自治区相关标准规范收集处置，经处理达标后按照规定排放，避免进入外环境。涉及生产、使用、贮存、运输、回收、处置、排放有毒有害物质的，应当明确有毒有害物质管控范围，采取密闭储存、密闭输送、泄漏检测等有效措施，防止有毒有害物质渗漏、流失、扬散，建立有毒有害物质台账，做好全流程管控，避免安全、环境风险。涉及有毒有害、腐蚀性物料的中试项目，其生产区、物料贮存区应当按照国家相关标准建设防渗设施，并每年至少开展</w:t>
      </w:r>
      <w:r>
        <w:rPr>
          <w:rFonts w:ascii="仿宋_GB2312" w:hAnsi="仿宋_GB2312" w:eastAsia="仿宋_GB2312" w:cs="仿宋_GB2312"/>
          <w:bCs/>
          <w:kern w:val="0"/>
          <w:sz w:val="32"/>
          <w:szCs w:val="32"/>
          <w:lang w:bidi="ar"/>
        </w:rPr>
        <w:t>1</w:t>
      </w:r>
      <w:r>
        <w:rPr>
          <w:rFonts w:hint="eastAsia" w:ascii="仿宋_GB2312" w:hAnsi="仿宋_GB2312" w:eastAsia="仿宋_GB2312" w:cs="仿宋_GB2312"/>
          <w:bCs/>
          <w:kern w:val="0"/>
          <w:sz w:val="32"/>
          <w:szCs w:val="32"/>
          <w:lang w:bidi="ar"/>
        </w:rPr>
        <w:t>次防渗性能检测，确保防渗系统完好有效。</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rPr>
          <w:rFonts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第二十六条开展</w:t>
      </w:r>
      <w:r>
        <w:rPr>
          <w:rStyle w:val="9"/>
          <w:rFonts w:hint="eastAsia" w:ascii="仿宋_GB2312" w:hAnsi="仿宋_GB2312" w:eastAsia="仿宋_GB2312" w:cs="仿宋_GB2312"/>
          <w:b w:val="0"/>
          <w:bCs/>
          <w:kern w:val="0"/>
          <w:sz w:val="32"/>
          <w:szCs w:val="32"/>
          <w:lang w:bidi="ar"/>
        </w:rPr>
        <w:t>石化化工</w:t>
      </w:r>
      <w:r>
        <w:rPr>
          <w:rFonts w:hint="eastAsia" w:ascii="仿宋_GB2312" w:hAnsi="仿宋_GB2312" w:eastAsia="仿宋_GB2312" w:cs="仿宋_GB2312"/>
          <w:bCs/>
          <w:kern w:val="0"/>
          <w:sz w:val="32"/>
          <w:szCs w:val="32"/>
          <w:lang w:bidi="ar"/>
        </w:rPr>
        <w:t>中试不得使用国家明令淘汰、禁止的工艺、设备和物料。</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rPr>
          <w:rFonts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第二十七条不得在役生产装置上进行中试和工业化试验。开展侧线中试的，应当提前向联合审核</w:t>
      </w:r>
      <w:r>
        <w:rPr>
          <w:rFonts w:ascii="仿宋_GB2312" w:hAnsi="仿宋_GB2312" w:eastAsia="仿宋_GB2312" w:cs="仿宋_GB2312"/>
          <w:bCs/>
          <w:kern w:val="0"/>
          <w:sz w:val="32"/>
          <w:szCs w:val="32"/>
          <w:lang w:bidi="ar"/>
        </w:rPr>
        <w:t>机制牵头单位</w:t>
      </w:r>
      <w:r>
        <w:rPr>
          <w:rFonts w:hint="eastAsia" w:ascii="仿宋_GB2312" w:hAnsi="仿宋_GB2312" w:eastAsia="仿宋_GB2312" w:cs="仿宋_GB2312"/>
          <w:bCs/>
          <w:kern w:val="0"/>
          <w:sz w:val="32"/>
          <w:szCs w:val="32"/>
          <w:lang w:bidi="ar"/>
        </w:rPr>
        <w:t>报备，经审核同意后方可开展，且不应影响在役生产系统的正常生产运行，不应涉及园区化工企业涉及的所有重点监管危险化工工艺。侧线中试与已有装置之间应当设置符合《石油化工企业设计防火标准》(GB50160-2008[2018年版])要求的自动双切断阀及紧急联锁切断装置，做好防串压、防超温、防爆等措施；侧线中试停用期间应当按照盲板隔离操作规范，使用盲板与已有装置彻底隔离，隔离后进行验收，验收合格后方可停用。旁路侧线中试还应当具备独立的气密性检查、置换、充压、泄压、进料及物料排放等功能；产品及关键工艺参数检测应明确具体频次，且检测间隔不得大于主工业装置对应检测间隔的50%；常规巡检、年度检验、环境监测等可按主装置或法定要求执行。</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rPr>
          <w:rFonts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第二十八条鼓励中试项目在技术可行的条件下采用符合国家节能节水标准的工艺、装备和设施，优先选用节能节水型产品和设备。在节能审查时，对符合经开区产业发展导向、安全环保达标、节能潜力大的石化化工中试项目，实施“绿色通道”和“容缺受理”等便利服务措施；“容缺受理”适用于非核心申请材料缺失的情况，缺失材料应当在7个工作日内补齐，保障其合理用能需求。安全设施"三同时"等相关安全审查手续不适用"容缺受理"，必须依法依规履行完备程序后方可开工建设或投入使用，以坚守安全底线。</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rPr>
          <w:rFonts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第二十九条中试项目应当符合属地和甘泉堡经开区的准入要求。同一化工企业的多个中试项目，若建设地点相邻、工艺类型相近、安全环保管控要求一致，且符合相关政策要求的，可采取“打包”方式向甘泉堡管委会中试项目联合审核</w:t>
      </w:r>
      <w:r>
        <w:rPr>
          <w:rFonts w:ascii="仿宋_GB2312" w:hAnsi="仿宋_GB2312" w:eastAsia="仿宋_GB2312" w:cs="仿宋_GB2312"/>
          <w:bCs/>
          <w:kern w:val="0"/>
          <w:sz w:val="32"/>
          <w:szCs w:val="32"/>
          <w:lang w:bidi="ar"/>
        </w:rPr>
        <w:t>机制牵头单位提出申请，符合要求的依程序</w:t>
      </w:r>
      <w:r>
        <w:rPr>
          <w:rFonts w:hint="eastAsia" w:ascii="仿宋_GB2312" w:hAnsi="仿宋_GB2312" w:eastAsia="仿宋_GB2312" w:cs="仿宋_GB2312"/>
          <w:bCs/>
          <w:kern w:val="0"/>
          <w:sz w:val="32"/>
          <w:szCs w:val="32"/>
          <w:lang w:bidi="ar"/>
        </w:rPr>
        <w:t>办理核准(备案)、环境影响评价等相关手续，统一提出污染防治要求，明确各单一项目的管控责任。以“打包”方式通过环境影响评价的，其中单一项目若未超出打包环评覆盖范围、未发生重大工艺变动的，不再重复开展环境影响评价。纳入固定污染源排污许可分类管理名录的中试项目应当依法办理排污许可手续，打包办理的项目可按规定统一办理排污许可，明确各单一项目的排污指标。</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rPr>
          <w:rFonts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第三十条中试项目所用的原辅料和产出的产品应当按照相关法律法规规章以及标准规范进行采购、存储、使用和管理。中试项目产出的产品应当在产品包装、说明书上明确标明“中试产品”字样，明确产品质量指标、适用范围及安全注意事项，产品出厂前应当进行质量检测，检测合格后方可交付；中试产品应当提供给具有资质的单位使用。中试项目涉及危险化学品的，运行管理单位应当建立危险化学品管理制度，规范采购、储存、使用、运输等环节管控；涉及剧毒、易制爆、易制毒等危险化学品以及监控化学品的，还应当按照相关法律法规规章以及标准规范等规定进行管理，依法办理相关许可手续，建立专项台账。中试项目产生的危险废物应当严格按照危险废物管理的法律法规、技术规范要求，对其产生、分类、贮存、运输、处置等全过程实施规范化管理，并建立危险废物管理台账。"</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rPr>
          <w:rFonts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第三十一条中试项目建设单位和运行管理单位应当做好中试过程中相关资料、数据、文件的整理，为后续产业化项目实施提供依据。</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rPr>
          <w:rFonts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第三十二条中试项目运行管理单位应当严格执行中试试验方案，如发生工艺、装置、产出产品、原辅料或者污染物排放物种类、数量等重大变动(重大变动判定标准按照国家环境影响评价、安全评价相关规范执行)，按照环境保护有关规定需重新开展环境影响评价的，应当在变动前向有关审批部门重新办理相关审批手续，审批时限按照首次审批相关要求执行。涉及安全生产条件发生变化的，应当重新编制中试项目安全评价报告和安全设施设计专篇，并按照本办法规定，组织专家对安全评价报告、安全设施设计专篇和现场安全中试条件开展评审(审查)，评审(审查)合格后重新办理备案手续。其中，中试项目在原场地建设，且不涉及建筑工程新建、改建、扩建的，工程规划许可可以利用原有手续，无需重复办理，但应当向规划建设局报备，说明相关情况。</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rPr>
          <w:rFonts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第三十三条中试项目运行管理单位不得将中试项目、场所、设备发包或出租给不具备安全生产条件或相应资质的单位或个人。</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rPr>
          <w:rFonts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第三十四条鼓励取得成功的中试项目实施成果转化。中试项目位于甘泉堡经开区的，鼓励就近在一般或者较低安全风险等级的化工园区建设工业生产项目。石化化工中试成果转化为工业生产，应当具备工业生产条件（包括场地合规、工艺成熟、安全环保设施达标、从业人员资质齐全等），满足安全生产、环境保护等要求：</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rPr>
          <w:rFonts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1.在甘泉堡经开区内转化：按照新建项目/技改项目要求，向甘泉堡经开区办理立项、安全、环保等审批手续，流程及时限执行工业生产项目规定；</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rPr>
          <w:rFonts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2.在甘泉堡经开区外转化：无需在甘泉堡办理工业生产审批，但须先向甘泉堡经开区中试成果结题备案、中试装置处置备案、剩余物料</w:t>
      </w:r>
      <w:r>
        <w:rPr>
          <w:rFonts w:ascii="仿宋_GB2312" w:hAnsi="仿宋_GB2312" w:eastAsia="仿宋_GB2312" w:cs="仿宋_GB2312"/>
          <w:bCs/>
          <w:kern w:val="0"/>
          <w:sz w:val="32"/>
          <w:szCs w:val="32"/>
          <w:lang w:bidi="ar"/>
        </w:rPr>
        <w:t>/</w:t>
      </w:r>
      <w:r>
        <w:rPr>
          <w:rFonts w:hint="eastAsia" w:ascii="仿宋_GB2312" w:hAnsi="仿宋_GB2312" w:eastAsia="仿宋_GB2312" w:cs="仿宋_GB2312"/>
          <w:bCs/>
          <w:kern w:val="0"/>
          <w:sz w:val="32"/>
          <w:szCs w:val="32"/>
          <w:lang w:bidi="ar"/>
        </w:rPr>
        <w:t>产品处置备案，取得中试成果可用于工业化的确认后，再向工业生产项目落地属地政府</w:t>
      </w:r>
      <w:r>
        <w:rPr>
          <w:rFonts w:ascii="仿宋_GB2312" w:hAnsi="仿宋_GB2312" w:eastAsia="仿宋_GB2312" w:cs="仿宋_GB2312"/>
          <w:bCs/>
          <w:kern w:val="0"/>
          <w:sz w:val="32"/>
          <w:szCs w:val="32"/>
          <w:lang w:bidi="ar"/>
        </w:rPr>
        <w:t>/</w:t>
      </w:r>
      <w:r>
        <w:rPr>
          <w:rFonts w:hint="eastAsia" w:ascii="仿宋_GB2312" w:hAnsi="仿宋_GB2312" w:eastAsia="仿宋_GB2312" w:cs="仿宋_GB2312"/>
          <w:bCs/>
          <w:kern w:val="0"/>
          <w:sz w:val="32"/>
          <w:szCs w:val="32"/>
          <w:lang w:bidi="ar"/>
        </w:rPr>
        <w:t>园区办理全部法定审批手续。</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rPr>
          <w:rFonts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第三十五条中试项目运行管理单位参照《安全评价通则》(AQ8001)等相关要求，每3年开展一次安全现状评价，编制安全评价报告，提出对策措施建议，明确作出安全评价结论，确保安全风险可控；安全现状评价报告应当在评价完成后10个工作日内报甘泉堡经开区备案。安全环境发生重大变化时应当立即重新进行安全现状评价，重新评价后5个工作日内报甘泉堡经开区备案。</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rPr>
          <w:rFonts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第三十六条中试项目运行周期届满(运行周期按照立项备案/核准文件确定，含延续期)且未转为工业生产项目的，或中试任务提前完成、中试失败不再继续开展的，运行管理单位应当在12个月内完成设备和管线清洗、物料处置、装置封存、拆除等工作；中试项目设备和管线清洗应当符合安全环保标准，物料处置应当依法合规，严禁擅自丢弃、处置。装置拆除前需开展土壤和地下水现状监测，监测因子需覆盖项目生产、使用的特征污染物，监测结果作为物料处置、装置拆除的依据；拆除后若监测发现土壤和地下水受到污染，运行管理单位需立即委托有资质的单位开展针对性修复，修复验收合格后方可完成备案；运行管理单位始终为环境修复的责任主体（不因项目终止而转移），应当委托有资质的单位开展环境修复工作，编制环境修复验收报告，经专家审核合格后，将拆除完成情况及环境修复验收报告、专家审核意见，在拆除及环境修复完成后15个工作日内报甘泉堡经开区备案。</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rPr>
          <w:rFonts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第三十七条在各项手续审查时，对符合甘泉堡经开区产业发展导向、安全环保达标、节能潜力大的石化化工中试项目，实施“绿色通道”和“容缺受理”等便利服务措施；“容缺受理”适用于非核心申请材料缺失的情况，缺失材料应当在7个工作日内补齐，保障其合理需求。</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center"/>
        <w:rPr>
          <w:rFonts w:hint="default" w:ascii="仿宋_GB2312" w:hAnsi="仿宋_GB2312" w:eastAsia="仿宋_GB2312" w:cs="仿宋_GB2312"/>
          <w:b w:val="0"/>
          <w:bCs/>
          <w:sz w:val="32"/>
          <w:szCs w:val="32"/>
        </w:rPr>
      </w:pPr>
      <w:r>
        <w:rPr>
          <w:rFonts w:ascii="仿宋_GB2312" w:hAnsi="仿宋_GB2312" w:eastAsia="仿宋_GB2312" w:cs="仿宋_GB2312"/>
          <w:b w:val="0"/>
          <w:bCs/>
          <w:sz w:val="32"/>
          <w:szCs w:val="32"/>
        </w:rPr>
        <w:t>第五章附则</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rPr>
          <w:rFonts w:hint="eastAsia" w:ascii="仿宋_GB2312" w:hAnsi="仿宋_GB2312" w:eastAsia="仿宋_GB2312" w:cs="仿宋_GB2312"/>
          <w:bCs/>
          <w:kern w:val="0"/>
          <w:sz w:val="32"/>
          <w:szCs w:val="32"/>
          <w:lang w:eastAsia="zh-CN" w:bidi="ar"/>
        </w:rPr>
      </w:pPr>
      <w:r>
        <w:rPr>
          <w:rFonts w:hint="eastAsia" w:ascii="仿宋_GB2312" w:hAnsi="仿宋_GB2312" w:eastAsia="仿宋_GB2312" w:cs="仿宋_GB2312"/>
          <w:bCs/>
          <w:kern w:val="0"/>
          <w:sz w:val="32"/>
          <w:szCs w:val="32"/>
          <w:lang w:bidi="ar"/>
        </w:rPr>
        <w:t>第三十八条与本办法相关的工程建设、工程质量、职业卫生、消防安全、环境保护、能源管理、特种设备及危险化学品管理等，按照现行法律法规规章以及标准规范执行。因有关法律法规规章以及标准规范制修订，与本办法不一致的，按照有关法律法规规章以及标准规范执行。本办法未尽事宜，按照国家、自治区相关法律法规及行业标准规范执行。</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lang w:bidi="ar"/>
        </w:rPr>
        <w:t>第三十九条本办法自2026年X月X日起施行，有效期</w:t>
      </w:r>
      <w:r>
        <w:rPr>
          <w:rFonts w:hint="eastAsia" w:ascii="仿宋_GB2312" w:hAnsi="仿宋_GB2312" w:eastAsia="仿宋_GB2312" w:cs="仿宋_GB2312"/>
          <w:bCs/>
          <w:kern w:val="0"/>
          <w:sz w:val="32"/>
          <w:szCs w:val="32"/>
          <w:lang w:val="en-US" w:eastAsia="zh-CN" w:bidi="ar"/>
        </w:rPr>
        <w:t>2</w:t>
      </w:r>
      <w:r>
        <w:rPr>
          <w:rFonts w:hint="eastAsia" w:ascii="仿宋_GB2312" w:hAnsi="仿宋_GB2312" w:eastAsia="仿宋_GB2312" w:cs="仿宋_GB2312"/>
          <w:bCs/>
          <w:kern w:val="0"/>
          <w:sz w:val="32"/>
          <w:szCs w:val="32"/>
          <w:lang w:bidi="ar"/>
        </w:rPr>
        <w:t>年。</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rPr>
          <w:rFonts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第四十条本办法由甘泉堡经开区负责解释。</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bCs/>
          <w:sz w:val="32"/>
          <w:szCs w:val="32"/>
        </w:rPr>
      </w:pPr>
    </w:p>
    <w:sectPr>
      <w:footerReference r:id="rId5" w:type="default"/>
      <w:pgSz w:w="11906" w:h="16838"/>
      <w:pgMar w:top="1984" w:right="1417" w:bottom="2098"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embedRegular r:id="rId1" w:fontKey="{BC59F594-CD5E-43EF-94DA-E9D00E2F7DF8}"/>
  </w:font>
  <w:font w:name="仿宋_GB2312">
    <w:altName w:val="仿宋"/>
    <w:panose1 w:val="00000000000000000000"/>
    <w:charset w:val="00"/>
    <w:family w:val="auto"/>
    <w:pitch w:val="default"/>
    <w:sig w:usb0="00000000" w:usb1="00000000" w:usb2="00000000" w:usb3="00000000" w:csb0="00000000" w:csb1="00000000"/>
    <w:embedRegular r:id="rId2" w:fontKey="{92908556-E785-4ADC-BCD4-EA4D51F7DADE}"/>
  </w:font>
  <w:font w:name="方正小标宋简体">
    <w:panose1 w:val="02000000000000000000"/>
    <w:charset w:val="86"/>
    <w:family w:val="auto"/>
    <w:pitch w:val="default"/>
    <w:sig w:usb0="00000001" w:usb1="08000000" w:usb2="00000000" w:usb3="00000000" w:csb0="00040000" w:csb1="00000000"/>
    <w:embedRegular r:id="rId3" w:fontKey="{97C5FB67-0CE8-4323-9E32-8FFC31A7DA1E}"/>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4092812"/>
      <w:docPartObj>
        <w:docPartGallery w:val="autotext"/>
      </w:docPartObj>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08BAE2"/>
    <w:multiLevelType w:val="singleLevel"/>
    <w:tmpl w:val="7C08BAE2"/>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RjMWRhNmNlYzc2OGMzMWUwYWFiYWRiZWU5MzY4M2QifQ=="/>
  </w:docVars>
  <w:rsids>
    <w:rsidRoot w:val="7D3E5FC8"/>
    <w:rsid w:val="002A120E"/>
    <w:rsid w:val="002C5EBE"/>
    <w:rsid w:val="0052048F"/>
    <w:rsid w:val="00592F54"/>
    <w:rsid w:val="008478F4"/>
    <w:rsid w:val="008C4C74"/>
    <w:rsid w:val="008D7284"/>
    <w:rsid w:val="009163F6"/>
    <w:rsid w:val="00B81FC7"/>
    <w:rsid w:val="00BB0293"/>
    <w:rsid w:val="00D806C1"/>
    <w:rsid w:val="00EC2A31"/>
    <w:rsid w:val="00F71C55"/>
    <w:rsid w:val="00F93728"/>
    <w:rsid w:val="021F336F"/>
    <w:rsid w:val="03806F86"/>
    <w:rsid w:val="03E93BD9"/>
    <w:rsid w:val="07662124"/>
    <w:rsid w:val="108856CC"/>
    <w:rsid w:val="114E421F"/>
    <w:rsid w:val="19C20DE0"/>
    <w:rsid w:val="1E85149C"/>
    <w:rsid w:val="1EF07F72"/>
    <w:rsid w:val="22ED0578"/>
    <w:rsid w:val="2C644840"/>
    <w:rsid w:val="2FFD5337"/>
    <w:rsid w:val="369C566C"/>
    <w:rsid w:val="36B0144E"/>
    <w:rsid w:val="36F86858"/>
    <w:rsid w:val="3E9A255F"/>
    <w:rsid w:val="41E2613A"/>
    <w:rsid w:val="44D32363"/>
    <w:rsid w:val="4AF65F68"/>
    <w:rsid w:val="4C327CBE"/>
    <w:rsid w:val="52630D85"/>
    <w:rsid w:val="529C65C0"/>
    <w:rsid w:val="54316D8F"/>
    <w:rsid w:val="558E539F"/>
    <w:rsid w:val="58E6255C"/>
    <w:rsid w:val="59323264"/>
    <w:rsid w:val="5CCA370B"/>
    <w:rsid w:val="6C775A1B"/>
    <w:rsid w:val="74D16CAD"/>
    <w:rsid w:val="74D5146A"/>
    <w:rsid w:val="7576258C"/>
    <w:rsid w:val="76052049"/>
    <w:rsid w:val="76E60856"/>
    <w:rsid w:val="7996445E"/>
    <w:rsid w:val="7C7970C0"/>
    <w:rsid w:val="7D3E5FC8"/>
    <w:rsid w:val="9E7EBDAD"/>
    <w:rsid w:val="B6EF03D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Autospacing="1" w:after="0" w:afterAutospacing="1"/>
      <w:jc w:val="left"/>
      <w:outlineLvl w:val="0"/>
    </w:pPr>
    <w:rPr>
      <w:rFonts w:hint="eastAsia" w:ascii="宋体" w:hAnsi="宋体" w:eastAsia="宋体" w:cs="Times New Roman"/>
      <w:b/>
      <w:kern w:val="44"/>
      <w:sz w:val="48"/>
      <w:szCs w:val="48"/>
    </w:rPr>
  </w:style>
  <w:style w:type="paragraph" w:styleId="3">
    <w:name w:val="heading 2"/>
    <w:basedOn w:val="1"/>
    <w:next w:val="1"/>
    <w:semiHidden/>
    <w:unhideWhenUsed/>
    <w:qFormat/>
    <w:uiPriority w:val="0"/>
    <w:pPr>
      <w:spacing w:beforeAutospacing="1" w:after="0" w:afterAutospacing="1"/>
      <w:jc w:val="left"/>
      <w:outlineLvl w:val="1"/>
    </w:pPr>
    <w:rPr>
      <w:rFonts w:hint="eastAsia" w:ascii="宋体" w:hAnsi="宋体" w:eastAsia="宋体" w:cs="Times New Roman"/>
      <w:b/>
      <w:kern w:val="0"/>
      <w:sz w:val="36"/>
      <w:szCs w:val="36"/>
    </w:rPr>
  </w:style>
  <w:style w:type="character" w:default="1" w:styleId="8">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footer"/>
    <w:basedOn w:val="1"/>
    <w:link w:val="15"/>
    <w:autoRedefine/>
    <w:qFormat/>
    <w:uiPriority w:val="99"/>
    <w:pPr>
      <w:tabs>
        <w:tab w:val="center" w:pos="4153"/>
        <w:tab w:val="right" w:pos="8306"/>
      </w:tabs>
      <w:snapToGrid w:val="0"/>
      <w:spacing w:line="240" w:lineRule="auto"/>
      <w:jc w:val="left"/>
    </w:pPr>
    <w:rPr>
      <w:sz w:val="18"/>
      <w:szCs w:val="18"/>
    </w:rPr>
  </w:style>
  <w:style w:type="paragraph" w:styleId="6">
    <w:name w:val="header"/>
    <w:basedOn w:val="1"/>
    <w:link w:val="14"/>
    <w:qFormat/>
    <w:uiPriority w:val="0"/>
    <w:pPr>
      <w:tabs>
        <w:tab w:val="center" w:pos="4153"/>
        <w:tab w:val="right" w:pos="8306"/>
      </w:tabs>
      <w:snapToGrid w:val="0"/>
      <w:spacing w:line="240" w:lineRule="auto"/>
      <w:jc w:val="center"/>
    </w:pPr>
    <w:rPr>
      <w:sz w:val="18"/>
      <w:szCs w:val="18"/>
    </w:rPr>
  </w:style>
  <w:style w:type="character" w:styleId="9">
    <w:name w:val="Strong"/>
    <w:basedOn w:val="8"/>
    <w:qFormat/>
    <w:uiPriority w:val="0"/>
    <w:rPr>
      <w:b/>
    </w:rPr>
  </w:style>
  <w:style w:type="character" w:styleId="10">
    <w:name w:val="annotation reference"/>
    <w:basedOn w:val="8"/>
    <w:qFormat/>
    <w:uiPriority w:val="0"/>
    <w:rPr>
      <w:sz w:val="21"/>
      <w:szCs w:val="21"/>
    </w:rPr>
  </w:style>
  <w:style w:type="character" w:customStyle="1" w:styleId="11">
    <w:name w:val="font01"/>
    <w:basedOn w:val="8"/>
    <w:autoRedefine/>
    <w:qFormat/>
    <w:uiPriority w:val="0"/>
    <w:rPr>
      <w:rFonts w:hint="eastAsia" w:ascii="宋体" w:hAnsi="宋体" w:eastAsia="宋体" w:cs="宋体"/>
      <w:color w:val="000000"/>
      <w:sz w:val="28"/>
      <w:szCs w:val="28"/>
      <w:u w:val="none"/>
    </w:rPr>
  </w:style>
  <w:style w:type="character" w:customStyle="1" w:styleId="12">
    <w:name w:val="font21"/>
    <w:basedOn w:val="8"/>
    <w:qFormat/>
    <w:uiPriority w:val="0"/>
    <w:rPr>
      <w:rFonts w:hint="default" w:ascii="Segoe UI" w:hAnsi="Segoe UI" w:eastAsia="Segoe UI" w:cs="Segoe UI"/>
      <w:color w:val="000000"/>
      <w:sz w:val="28"/>
      <w:szCs w:val="28"/>
      <w:u w:val="none"/>
    </w:rPr>
  </w:style>
  <w:style w:type="paragraph" w:customStyle="1" w:styleId="13">
    <w:name w:val="Revision"/>
    <w:autoRedefine/>
    <w:hidden/>
    <w:unhideWhenUsed/>
    <w:qFormat/>
    <w:uiPriority w:val="99"/>
    <w:pPr>
      <w:spacing w:after="0" w:line="240" w:lineRule="auto"/>
    </w:pPr>
    <w:rPr>
      <w:rFonts w:asciiTheme="minorHAnsi" w:hAnsiTheme="minorHAnsi" w:eastAsiaTheme="minorEastAsia" w:cstheme="minorBidi"/>
      <w:kern w:val="2"/>
      <w:sz w:val="21"/>
      <w:szCs w:val="24"/>
      <w:lang w:val="en-US" w:eastAsia="zh-CN" w:bidi="ar-SA"/>
    </w:rPr>
  </w:style>
  <w:style w:type="character" w:customStyle="1" w:styleId="14">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5">
    <w:name w:val="页脚 字符"/>
    <w:basedOn w:val="8"/>
    <w:link w:val="5"/>
    <w:autoRedefine/>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customXml" Target="ink/ink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ink/ink1.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6-02-26T16:04:24"/>
    </inkml:context>
    <inkml:brush xml:id="br0">
      <inkml:brushProperty name="width" value="0.05292" units="cm"/>
      <inkml:brushProperty name="height" value="0.05292" units="cm"/>
      <inkml:brushProperty name="color" value="#f80600"/>
    </inkml:brush>
  </inkml:definitions>
  <inkml:trace contextRef="#ctx0" brushRef="#br0">5127 43007,'0'0</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F19535-107D-4AE0-897E-5A7061018BDF}">
  <ds:schemaRefs/>
</ds:datastoreItem>
</file>

<file path=docProps/app.xml><?xml version="1.0" encoding="utf-8"?>
<Properties xmlns="http://schemas.openxmlformats.org/officeDocument/2006/extended-properties" xmlns:vt="http://schemas.openxmlformats.org/officeDocument/2006/docPropsVTypes">
  <Template>Normal</Template>
  <Pages>15</Pages>
  <Words>7839</Words>
  <Characters>8057</Characters>
  <Lines>58</Lines>
  <Paragraphs>16</Paragraphs>
  <TotalTime>67</TotalTime>
  <ScaleCrop>false</ScaleCrop>
  <LinksUpToDate>false</LinksUpToDate>
  <CharactersWithSpaces>8209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2026-03-08T12:10:00Z</dcterms:created>
  <dc:creator>26606</dc:creator>
  <cp:lastModifiedBy>1798</cp:lastModifiedBy>
  <dcterms:modified xsi:type="dcterms:W3CDTF">2026-03-25T04:27:49Z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CF5C8A0EB39D4481B3B9915D0E5E9EEE_13</vt:lpwstr>
  </property>
</Properties>
</file>